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4735B8" w14:textId="77777777" w:rsidR="00A65157" w:rsidRPr="00DE2338" w:rsidRDefault="00DE2338" w:rsidP="00DE2338">
      <w:pPr>
        <w:pStyle w:val="Heading1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5D4812">
        <w:t xml:space="preserve">Summer Internship </w:t>
      </w:r>
      <w:r w:rsidR="00CE180B">
        <w:t>with</w:t>
      </w:r>
      <w:r w:rsidR="005D4812">
        <w:t xml:space="preserve"> </w:t>
      </w:r>
      <w:r w:rsidR="00CE180B">
        <w:t>the</w:t>
      </w:r>
      <w:r w:rsidR="005D4812">
        <w:t xml:space="preserve"> Department of Tourism</w:t>
      </w:r>
      <w:r>
        <w:fldChar w:fldCharType="end"/>
      </w:r>
      <w:bookmarkEnd w:id="1"/>
    </w:p>
    <w:p w14:paraId="41E4AAFC" w14:textId="77777777" w:rsidR="00A65157" w:rsidRDefault="00A65157"/>
    <w:p w14:paraId="7C8068E6" w14:textId="77777777" w:rsidR="00A65157" w:rsidRDefault="00A65157"/>
    <w:p w14:paraId="65453A36" w14:textId="77777777" w:rsidR="00A65157" w:rsidRDefault="00A65157">
      <w:r w:rsidRPr="0062258B">
        <w:rPr>
          <w:b/>
        </w:rPr>
        <w:t>Purpose:</w:t>
      </w:r>
      <w:r w:rsidR="005D4812">
        <w:rPr>
          <w:b/>
        </w:rPr>
        <w:t xml:space="preserve"> </w:t>
      </w:r>
      <w:r w:rsidR="005D4812">
        <w:t xml:space="preserve">The Department of Tourism Human Resources Department is responsible for coordinating the </w:t>
      </w:r>
      <w:r w:rsidR="008B04B2">
        <w:t>D</w:t>
      </w:r>
      <w:r w:rsidR="005D4812">
        <w:t xml:space="preserve">epartment’s </w:t>
      </w:r>
      <w:r w:rsidR="00E96868">
        <w:t>Summer Internship Program</w:t>
      </w:r>
      <w:r w:rsidR="005D4812">
        <w:t xml:space="preserve">. </w:t>
      </w:r>
      <w:r w:rsidR="008571C8">
        <w:t>It is our pleasure to be able to p</w:t>
      </w:r>
      <w:r w:rsidR="00E96868">
        <w:t>rovid</w:t>
      </w:r>
      <w:r w:rsidR="008571C8">
        <w:t>e</w:t>
      </w:r>
      <w:r w:rsidR="00E96868">
        <w:t xml:space="preserve"> </w:t>
      </w:r>
      <w:r w:rsidR="005D4812">
        <w:t>professional</w:t>
      </w:r>
      <w:r w:rsidR="00E96868">
        <w:t xml:space="preserve"> developmental opportunities in the tourism industry </w:t>
      </w:r>
      <w:r w:rsidR="008571C8">
        <w:t>for</w:t>
      </w:r>
      <w:r w:rsidR="00E96868">
        <w:t xml:space="preserve"> students </w:t>
      </w:r>
      <w:r w:rsidR="008571C8">
        <w:t xml:space="preserve">where they will </w:t>
      </w:r>
      <w:r w:rsidR="00E96868">
        <w:t>receive hands on experience</w:t>
      </w:r>
      <w:r w:rsidR="008571C8">
        <w:t xml:space="preserve"> </w:t>
      </w:r>
      <w:r w:rsidR="008B04B2">
        <w:t xml:space="preserve">directly </w:t>
      </w:r>
      <w:r w:rsidR="008571C8">
        <w:t xml:space="preserve">related to their course of study. </w:t>
      </w:r>
      <w:r w:rsidR="00451C77">
        <w:t>It is our intention to provide students with a meaningful experience and the environment for which they can learn practical application of their chosen fields</w:t>
      </w:r>
      <w:r w:rsidR="0096748B">
        <w:t xml:space="preserve"> to enhance their learning.</w:t>
      </w:r>
    </w:p>
    <w:p w14:paraId="2BD710CC" w14:textId="77777777" w:rsidR="008571C8" w:rsidRDefault="008571C8"/>
    <w:p w14:paraId="74AC1A27" w14:textId="77777777" w:rsidR="00A65157" w:rsidRPr="0062258B" w:rsidRDefault="00A65157">
      <w:pPr>
        <w:rPr>
          <w:b/>
        </w:rPr>
      </w:pPr>
      <w:r w:rsidRPr="0062258B">
        <w:rPr>
          <w:b/>
        </w:rPr>
        <w:t>Process</w:t>
      </w:r>
      <w:r w:rsidR="008B04B2">
        <w:rPr>
          <w:b/>
        </w:rPr>
        <w:t xml:space="preserve"> and checklist follows</w:t>
      </w:r>
      <w:r w:rsidRPr="0062258B">
        <w:rPr>
          <w:b/>
        </w:rPr>
        <w:t>:</w:t>
      </w:r>
    </w:p>
    <w:p w14:paraId="09744547" w14:textId="77777777" w:rsidR="00A65157" w:rsidRDefault="00A65157"/>
    <w:tbl>
      <w:tblPr>
        <w:tblStyle w:val="TableGrid"/>
        <w:tblW w:w="10620" w:type="dxa"/>
        <w:tblInd w:w="-972" w:type="dxa"/>
        <w:tblLook w:val="01E0" w:firstRow="1" w:lastRow="1" w:firstColumn="1" w:lastColumn="1" w:noHBand="0" w:noVBand="0"/>
      </w:tblPr>
      <w:tblGrid>
        <w:gridCol w:w="1872"/>
        <w:gridCol w:w="3953"/>
        <w:gridCol w:w="1652"/>
        <w:gridCol w:w="1363"/>
        <w:gridCol w:w="1780"/>
      </w:tblGrid>
      <w:tr w:rsidR="0096748B" w:rsidRPr="00A65157" w14:paraId="02D9B3EE" w14:textId="77777777" w:rsidTr="0096748B">
        <w:tc>
          <w:tcPr>
            <w:tcW w:w="1872" w:type="dxa"/>
          </w:tcPr>
          <w:p w14:paraId="4C92790D" w14:textId="77777777" w:rsidR="00A65157" w:rsidRPr="00A65157" w:rsidRDefault="00A65157" w:rsidP="005D4812">
            <w:pPr>
              <w:rPr>
                <w:b/>
              </w:rPr>
            </w:pPr>
            <w:r w:rsidRPr="00A65157">
              <w:rPr>
                <w:b/>
              </w:rPr>
              <w:t>Step(s)</w:t>
            </w:r>
          </w:p>
        </w:tc>
        <w:tc>
          <w:tcPr>
            <w:tcW w:w="3953" w:type="dxa"/>
          </w:tcPr>
          <w:p w14:paraId="2A3AD3C5" w14:textId="77777777" w:rsidR="00A65157" w:rsidRPr="00A65157" w:rsidRDefault="00A65157">
            <w:pPr>
              <w:rPr>
                <w:b/>
              </w:rPr>
            </w:pPr>
            <w:r w:rsidRPr="00A65157">
              <w:rPr>
                <w:b/>
              </w:rPr>
              <w:t>Action</w:t>
            </w:r>
          </w:p>
        </w:tc>
        <w:tc>
          <w:tcPr>
            <w:tcW w:w="1652" w:type="dxa"/>
          </w:tcPr>
          <w:p w14:paraId="2DDB038F" w14:textId="77777777" w:rsidR="00A65157" w:rsidRPr="00A65157" w:rsidRDefault="008B04B2">
            <w:pPr>
              <w:rPr>
                <w:b/>
              </w:rPr>
            </w:pPr>
            <w:r>
              <w:rPr>
                <w:b/>
              </w:rPr>
              <w:t>Point of Contact</w:t>
            </w:r>
          </w:p>
        </w:tc>
        <w:tc>
          <w:tcPr>
            <w:tcW w:w="1363" w:type="dxa"/>
          </w:tcPr>
          <w:p w14:paraId="46245A5E" w14:textId="77777777" w:rsidR="00A65157" w:rsidRPr="00A65157" w:rsidRDefault="00A65157">
            <w:pPr>
              <w:rPr>
                <w:b/>
              </w:rPr>
            </w:pPr>
            <w:r w:rsidRPr="00A65157">
              <w:rPr>
                <w:b/>
              </w:rPr>
              <w:t>Time</w:t>
            </w:r>
            <w:r w:rsidR="008B04B2">
              <w:rPr>
                <w:b/>
              </w:rPr>
              <w:t>frame</w:t>
            </w:r>
          </w:p>
        </w:tc>
        <w:tc>
          <w:tcPr>
            <w:tcW w:w="1780" w:type="dxa"/>
          </w:tcPr>
          <w:p w14:paraId="7BABA4AE" w14:textId="77777777" w:rsidR="00A65157" w:rsidRPr="00A65157" w:rsidRDefault="00A65157">
            <w:pPr>
              <w:rPr>
                <w:b/>
              </w:rPr>
            </w:pPr>
            <w:r w:rsidRPr="00A65157">
              <w:rPr>
                <w:b/>
              </w:rPr>
              <w:t>Results</w:t>
            </w:r>
          </w:p>
        </w:tc>
      </w:tr>
      <w:tr w:rsidR="0096748B" w14:paraId="1052DFBC" w14:textId="77777777" w:rsidTr="0096748B">
        <w:tc>
          <w:tcPr>
            <w:tcW w:w="1872" w:type="dxa"/>
          </w:tcPr>
          <w:p w14:paraId="74D869BB" w14:textId="77777777" w:rsidR="00EF12CE" w:rsidRDefault="00EF12CE" w:rsidP="005D4812">
            <w:pPr>
              <w:numPr>
                <w:ilvl w:val="0"/>
                <w:numId w:val="1"/>
              </w:numPr>
            </w:pPr>
          </w:p>
        </w:tc>
        <w:tc>
          <w:tcPr>
            <w:tcW w:w="3953" w:type="dxa"/>
          </w:tcPr>
          <w:p w14:paraId="2D5D1496" w14:textId="77777777" w:rsidR="00EF12CE" w:rsidRDefault="00EF12CE">
            <w:r>
              <w:t xml:space="preserve">Ensure </w:t>
            </w:r>
            <w:r w:rsidR="008571C8">
              <w:t xml:space="preserve">intern program is </w:t>
            </w:r>
            <w:r>
              <w:t>budge</w:t>
            </w:r>
            <w:r w:rsidR="008571C8">
              <w:t>ted as part of the annual planning process</w:t>
            </w:r>
            <w:r>
              <w:t xml:space="preserve"> </w:t>
            </w:r>
            <w:r w:rsidR="008571C8">
              <w:t>for each organization’s needs within DoT</w:t>
            </w:r>
            <w:r>
              <w:t>.</w:t>
            </w:r>
          </w:p>
        </w:tc>
        <w:tc>
          <w:tcPr>
            <w:tcW w:w="1652" w:type="dxa"/>
          </w:tcPr>
          <w:p w14:paraId="66EB8D64" w14:textId="77777777" w:rsidR="00EF12CE" w:rsidRDefault="008B04B2">
            <w:r>
              <w:t>HR and DoT Management Team</w:t>
            </w:r>
          </w:p>
        </w:tc>
        <w:tc>
          <w:tcPr>
            <w:tcW w:w="1363" w:type="dxa"/>
          </w:tcPr>
          <w:p w14:paraId="759C196E" w14:textId="77777777" w:rsidR="00EF12CE" w:rsidRDefault="00451C77">
            <w:r>
              <w:t>Annually</w:t>
            </w:r>
          </w:p>
        </w:tc>
        <w:tc>
          <w:tcPr>
            <w:tcW w:w="1780" w:type="dxa"/>
          </w:tcPr>
          <w:p w14:paraId="00888494" w14:textId="77777777" w:rsidR="00EF12CE" w:rsidRDefault="00EF12CE"/>
        </w:tc>
      </w:tr>
      <w:tr w:rsidR="0096748B" w14:paraId="46BDE88D" w14:textId="77777777" w:rsidTr="0096748B">
        <w:tc>
          <w:tcPr>
            <w:tcW w:w="1872" w:type="dxa"/>
          </w:tcPr>
          <w:p w14:paraId="565DEB17" w14:textId="77777777" w:rsidR="008B04B2" w:rsidRDefault="008B04B2" w:rsidP="005D4812">
            <w:pPr>
              <w:numPr>
                <w:ilvl w:val="0"/>
                <w:numId w:val="1"/>
              </w:numPr>
            </w:pPr>
          </w:p>
        </w:tc>
        <w:tc>
          <w:tcPr>
            <w:tcW w:w="3953" w:type="dxa"/>
          </w:tcPr>
          <w:p w14:paraId="6C10B4BF" w14:textId="77777777" w:rsidR="008B04B2" w:rsidRDefault="008B04B2" w:rsidP="008B04B2">
            <w:r>
              <w:t xml:space="preserve">Alert Information Technology Support Personnel to ensure desk space and necessary equipment are available for </w:t>
            </w:r>
            <w:r w:rsidR="00451C77">
              <w:t xml:space="preserve">the number and placement of </w:t>
            </w:r>
            <w:r>
              <w:t xml:space="preserve">all </w:t>
            </w:r>
            <w:r w:rsidR="00451C77">
              <w:t xml:space="preserve">prospective </w:t>
            </w:r>
            <w:r>
              <w:t>candidates</w:t>
            </w:r>
            <w:r w:rsidR="00451C77">
              <w:t xml:space="preserve"> for each unit in DoT.</w:t>
            </w:r>
          </w:p>
          <w:p w14:paraId="57F2EE62" w14:textId="77777777" w:rsidR="008B04B2" w:rsidRDefault="008B04B2"/>
        </w:tc>
        <w:tc>
          <w:tcPr>
            <w:tcW w:w="1652" w:type="dxa"/>
          </w:tcPr>
          <w:p w14:paraId="1DB00E21" w14:textId="77777777" w:rsidR="008B04B2" w:rsidRDefault="00451C77">
            <w:r>
              <w:t>HR and IT Manager</w:t>
            </w:r>
          </w:p>
        </w:tc>
        <w:tc>
          <w:tcPr>
            <w:tcW w:w="1363" w:type="dxa"/>
          </w:tcPr>
          <w:p w14:paraId="061ACA61" w14:textId="77777777" w:rsidR="008B04B2" w:rsidRDefault="00451C77">
            <w:r>
              <w:t>Annually and again at least 2 weeks prior to start dates</w:t>
            </w:r>
          </w:p>
        </w:tc>
        <w:tc>
          <w:tcPr>
            <w:tcW w:w="1780" w:type="dxa"/>
          </w:tcPr>
          <w:p w14:paraId="4CD29C2A" w14:textId="77777777" w:rsidR="008B04B2" w:rsidRDefault="008B04B2"/>
        </w:tc>
      </w:tr>
      <w:tr w:rsidR="0096748B" w14:paraId="26EAD9AF" w14:textId="77777777" w:rsidTr="0096748B">
        <w:tc>
          <w:tcPr>
            <w:tcW w:w="1872" w:type="dxa"/>
          </w:tcPr>
          <w:p w14:paraId="7E8F3545" w14:textId="77777777" w:rsidR="00A65157" w:rsidRDefault="00A65157" w:rsidP="005D4812">
            <w:pPr>
              <w:numPr>
                <w:ilvl w:val="0"/>
                <w:numId w:val="1"/>
              </w:numPr>
            </w:pPr>
          </w:p>
        </w:tc>
        <w:tc>
          <w:tcPr>
            <w:tcW w:w="3953" w:type="dxa"/>
          </w:tcPr>
          <w:p w14:paraId="56FBA647" w14:textId="77777777" w:rsidR="00451C77" w:rsidRDefault="008571C8">
            <w:r>
              <w:t>All prospective intern candidates</w:t>
            </w:r>
            <w:r w:rsidR="00C06081">
              <w:t xml:space="preserve"> must </w:t>
            </w:r>
            <w:r w:rsidR="00451C77">
              <w:t>address</w:t>
            </w:r>
            <w:r w:rsidR="00C06081">
              <w:t xml:space="preserve"> their request </w:t>
            </w:r>
            <w:r w:rsidR="00451C77">
              <w:t>for consideration</w:t>
            </w:r>
            <w:r w:rsidR="00C06081">
              <w:t xml:space="preserve"> </w:t>
            </w:r>
            <w:r w:rsidR="00451C77">
              <w:t>for participation in the</w:t>
            </w:r>
            <w:r>
              <w:t xml:space="preserve"> DoT </w:t>
            </w:r>
            <w:r w:rsidR="00451C77">
              <w:t xml:space="preserve">Summer Intern Program to the </w:t>
            </w:r>
            <w:r>
              <w:t xml:space="preserve">Human Resources Department. </w:t>
            </w:r>
          </w:p>
          <w:p w14:paraId="0F26E8B5" w14:textId="77777777" w:rsidR="00C06081" w:rsidRDefault="008571C8">
            <w:r>
              <w:t xml:space="preserve">HR </w:t>
            </w:r>
            <w:r w:rsidR="00451C77">
              <w:t>w</w:t>
            </w:r>
            <w:r>
              <w:t>ill ensure that an</w:t>
            </w:r>
            <w:r w:rsidR="00C06081">
              <w:t xml:space="preserve"> Internship Request Form is sent</w:t>
            </w:r>
            <w:r>
              <w:t xml:space="preserve"> to each interested applicant.</w:t>
            </w:r>
          </w:p>
          <w:p w14:paraId="62BA2558" w14:textId="77777777" w:rsidR="000877ED" w:rsidRDefault="000877ED"/>
        </w:tc>
        <w:tc>
          <w:tcPr>
            <w:tcW w:w="1652" w:type="dxa"/>
          </w:tcPr>
          <w:p w14:paraId="1A3786A6" w14:textId="77777777" w:rsidR="00A65157" w:rsidRDefault="00451C77">
            <w:r>
              <w:t>HR</w:t>
            </w:r>
          </w:p>
        </w:tc>
        <w:tc>
          <w:tcPr>
            <w:tcW w:w="1363" w:type="dxa"/>
          </w:tcPr>
          <w:p w14:paraId="5F355470" w14:textId="77777777" w:rsidR="00A65157" w:rsidRDefault="00A65157"/>
        </w:tc>
        <w:tc>
          <w:tcPr>
            <w:tcW w:w="1780" w:type="dxa"/>
          </w:tcPr>
          <w:p w14:paraId="1BF52721" w14:textId="77777777" w:rsidR="00A65157" w:rsidRDefault="00A65157"/>
        </w:tc>
      </w:tr>
      <w:tr w:rsidR="0096748B" w14:paraId="5C902136" w14:textId="77777777" w:rsidTr="0096748B">
        <w:tc>
          <w:tcPr>
            <w:tcW w:w="1872" w:type="dxa"/>
          </w:tcPr>
          <w:p w14:paraId="1AADC6FF" w14:textId="77777777" w:rsidR="00A65157" w:rsidRDefault="00A65157" w:rsidP="005D4812">
            <w:pPr>
              <w:numPr>
                <w:ilvl w:val="0"/>
                <w:numId w:val="1"/>
              </w:numPr>
            </w:pPr>
          </w:p>
        </w:tc>
        <w:tc>
          <w:tcPr>
            <w:tcW w:w="3953" w:type="dxa"/>
          </w:tcPr>
          <w:p w14:paraId="17B7F5DD" w14:textId="77777777" w:rsidR="00C06081" w:rsidRDefault="008571C8">
            <w:r>
              <w:t>Once</w:t>
            </w:r>
            <w:r w:rsidR="00C06081">
              <w:t xml:space="preserve"> completed Internship Request Forms </w:t>
            </w:r>
            <w:r w:rsidR="008B04B2">
              <w:t xml:space="preserve">are collected through HR by a determined deadline date for submission, candidates will be evaluated in terms of </w:t>
            </w:r>
            <w:r w:rsidR="00451C77">
              <w:t xml:space="preserve">both </w:t>
            </w:r>
            <w:r w:rsidR="008B04B2">
              <w:t xml:space="preserve">their </w:t>
            </w:r>
            <w:r w:rsidR="00451C77">
              <w:t>educational needs for practical application as well as their knowledge</w:t>
            </w:r>
            <w:r w:rsidR="008B04B2">
              <w:t xml:space="preserve"> and experiential fit with the </w:t>
            </w:r>
            <w:r w:rsidR="00451C77">
              <w:t>workings</w:t>
            </w:r>
            <w:r w:rsidR="008B04B2">
              <w:t xml:space="preserve"> of each unit within DoT</w:t>
            </w:r>
            <w:r w:rsidR="00451C77">
              <w:t xml:space="preserve">. </w:t>
            </w:r>
          </w:p>
          <w:p w14:paraId="075FCEDE" w14:textId="77777777" w:rsidR="000877ED" w:rsidRDefault="000877ED"/>
        </w:tc>
        <w:tc>
          <w:tcPr>
            <w:tcW w:w="1652" w:type="dxa"/>
          </w:tcPr>
          <w:p w14:paraId="018FDB3E" w14:textId="77777777" w:rsidR="00A65157" w:rsidRDefault="00451C77">
            <w:r>
              <w:t>HR</w:t>
            </w:r>
          </w:p>
        </w:tc>
        <w:tc>
          <w:tcPr>
            <w:tcW w:w="1363" w:type="dxa"/>
          </w:tcPr>
          <w:p w14:paraId="06DA7CAB" w14:textId="77777777" w:rsidR="00A65157" w:rsidRDefault="00A65157"/>
        </w:tc>
        <w:tc>
          <w:tcPr>
            <w:tcW w:w="1780" w:type="dxa"/>
          </w:tcPr>
          <w:p w14:paraId="06ED66DF" w14:textId="77777777" w:rsidR="00A65157" w:rsidRDefault="00A65157"/>
        </w:tc>
      </w:tr>
      <w:tr w:rsidR="0096748B" w14:paraId="2E141C48" w14:textId="77777777" w:rsidTr="0096748B">
        <w:tc>
          <w:tcPr>
            <w:tcW w:w="1872" w:type="dxa"/>
          </w:tcPr>
          <w:p w14:paraId="2056EC8C" w14:textId="77777777" w:rsidR="00EF12CE" w:rsidRDefault="00EF12CE" w:rsidP="00EF12CE">
            <w:pPr>
              <w:numPr>
                <w:ilvl w:val="0"/>
                <w:numId w:val="1"/>
              </w:numPr>
            </w:pPr>
          </w:p>
        </w:tc>
        <w:tc>
          <w:tcPr>
            <w:tcW w:w="3953" w:type="dxa"/>
          </w:tcPr>
          <w:p w14:paraId="41BD8370" w14:textId="77777777" w:rsidR="00EF12CE" w:rsidRDefault="00451C77" w:rsidP="00EF12CE">
            <w:r>
              <w:t>HR will distribute the Internship request forms to each unit within DoT</w:t>
            </w:r>
            <w:r w:rsidR="0096748B">
              <w:t xml:space="preserve"> </w:t>
            </w:r>
            <w:r w:rsidR="0096748B">
              <w:lastRenderedPageBreak/>
              <w:t>and unit managers will rate each applicant from 1 to 3 on their criteria selection form.</w:t>
            </w:r>
          </w:p>
          <w:p w14:paraId="1E682B98" w14:textId="77777777" w:rsidR="000877ED" w:rsidRDefault="000877ED" w:rsidP="00EF12CE"/>
        </w:tc>
        <w:tc>
          <w:tcPr>
            <w:tcW w:w="1652" w:type="dxa"/>
          </w:tcPr>
          <w:p w14:paraId="1D5D19C6" w14:textId="77777777" w:rsidR="00EF12CE" w:rsidRDefault="0096748B" w:rsidP="00EF12CE">
            <w:r>
              <w:lastRenderedPageBreak/>
              <w:t>HR and Unit Managers</w:t>
            </w:r>
          </w:p>
        </w:tc>
        <w:tc>
          <w:tcPr>
            <w:tcW w:w="1363" w:type="dxa"/>
          </w:tcPr>
          <w:p w14:paraId="17B27336" w14:textId="77777777" w:rsidR="00EF12CE" w:rsidRDefault="00EF12CE" w:rsidP="00EF12CE"/>
        </w:tc>
        <w:tc>
          <w:tcPr>
            <w:tcW w:w="1780" w:type="dxa"/>
          </w:tcPr>
          <w:p w14:paraId="33FA8D86" w14:textId="77777777" w:rsidR="00EF12CE" w:rsidRDefault="00EF12CE" w:rsidP="00EF12CE"/>
        </w:tc>
      </w:tr>
      <w:tr w:rsidR="0096748B" w14:paraId="6E1A23D9" w14:textId="77777777" w:rsidTr="0096748B">
        <w:tc>
          <w:tcPr>
            <w:tcW w:w="1872" w:type="dxa"/>
          </w:tcPr>
          <w:p w14:paraId="548DBE63" w14:textId="77777777" w:rsidR="00A65157" w:rsidRDefault="00A65157" w:rsidP="005D4812">
            <w:pPr>
              <w:numPr>
                <w:ilvl w:val="0"/>
                <w:numId w:val="1"/>
              </w:numPr>
            </w:pPr>
          </w:p>
        </w:tc>
        <w:tc>
          <w:tcPr>
            <w:tcW w:w="3953" w:type="dxa"/>
          </w:tcPr>
          <w:p w14:paraId="5CCDB9B3" w14:textId="77777777" w:rsidR="00A65157" w:rsidRDefault="008B04B2">
            <w:r>
              <w:t>C</w:t>
            </w:r>
            <w:r w:rsidR="00EF12CE">
              <w:t xml:space="preserve">onfirmation letters </w:t>
            </w:r>
            <w:r>
              <w:t xml:space="preserve">will be sent by HR </w:t>
            </w:r>
            <w:r w:rsidR="00EF12CE">
              <w:t>to successful candidates with start and end dates, pay rate and placement.</w:t>
            </w:r>
          </w:p>
          <w:p w14:paraId="5B59EAC8" w14:textId="77777777" w:rsidR="000877ED" w:rsidRDefault="000877ED"/>
        </w:tc>
        <w:tc>
          <w:tcPr>
            <w:tcW w:w="1652" w:type="dxa"/>
          </w:tcPr>
          <w:p w14:paraId="2390E3EF" w14:textId="77777777" w:rsidR="00A65157" w:rsidRDefault="0096748B">
            <w:r>
              <w:t>HR</w:t>
            </w:r>
          </w:p>
        </w:tc>
        <w:tc>
          <w:tcPr>
            <w:tcW w:w="1363" w:type="dxa"/>
          </w:tcPr>
          <w:p w14:paraId="0885032C" w14:textId="77777777" w:rsidR="00A65157" w:rsidRDefault="00A65157"/>
        </w:tc>
        <w:tc>
          <w:tcPr>
            <w:tcW w:w="1780" w:type="dxa"/>
          </w:tcPr>
          <w:p w14:paraId="71D75D10" w14:textId="77777777" w:rsidR="00A65157" w:rsidRDefault="00A65157"/>
        </w:tc>
      </w:tr>
      <w:tr w:rsidR="0096748B" w14:paraId="31A939C7" w14:textId="77777777" w:rsidTr="0096748B">
        <w:tc>
          <w:tcPr>
            <w:tcW w:w="1872" w:type="dxa"/>
          </w:tcPr>
          <w:p w14:paraId="7BDE318B" w14:textId="77777777" w:rsidR="00A65157" w:rsidRDefault="00A65157" w:rsidP="005D4812">
            <w:pPr>
              <w:numPr>
                <w:ilvl w:val="0"/>
                <w:numId w:val="1"/>
              </w:numPr>
            </w:pPr>
          </w:p>
        </w:tc>
        <w:tc>
          <w:tcPr>
            <w:tcW w:w="3953" w:type="dxa"/>
          </w:tcPr>
          <w:p w14:paraId="161F8920" w14:textId="77777777" w:rsidR="00A65157" w:rsidRDefault="00EF12CE">
            <w:r>
              <w:t xml:space="preserve">HR Unit is to Inform </w:t>
            </w:r>
            <w:r w:rsidR="00CE180B">
              <w:t>Personnel</w:t>
            </w:r>
            <w:r>
              <w:t xml:space="preserve"> Department to ensure names are in the system for payment of wages</w:t>
            </w:r>
          </w:p>
          <w:p w14:paraId="52DC4C31" w14:textId="77777777" w:rsidR="000877ED" w:rsidRDefault="000877ED"/>
        </w:tc>
        <w:tc>
          <w:tcPr>
            <w:tcW w:w="1652" w:type="dxa"/>
          </w:tcPr>
          <w:p w14:paraId="6863DD26" w14:textId="77777777" w:rsidR="00A65157" w:rsidRDefault="0096748B">
            <w:r>
              <w:t>HR</w:t>
            </w:r>
          </w:p>
        </w:tc>
        <w:tc>
          <w:tcPr>
            <w:tcW w:w="1363" w:type="dxa"/>
          </w:tcPr>
          <w:p w14:paraId="5A27E37A" w14:textId="77777777" w:rsidR="00A65157" w:rsidRDefault="00A65157"/>
        </w:tc>
        <w:tc>
          <w:tcPr>
            <w:tcW w:w="1780" w:type="dxa"/>
          </w:tcPr>
          <w:p w14:paraId="474EB602" w14:textId="77777777" w:rsidR="00A65157" w:rsidRDefault="00A65157"/>
        </w:tc>
      </w:tr>
      <w:tr w:rsidR="0096748B" w14:paraId="02DCAC0B" w14:textId="77777777" w:rsidTr="0096748B">
        <w:tc>
          <w:tcPr>
            <w:tcW w:w="1872" w:type="dxa"/>
          </w:tcPr>
          <w:p w14:paraId="441A52F8" w14:textId="77777777" w:rsidR="00A65157" w:rsidRDefault="00A65157" w:rsidP="005D4812">
            <w:pPr>
              <w:numPr>
                <w:ilvl w:val="0"/>
                <w:numId w:val="1"/>
              </w:numPr>
            </w:pPr>
          </w:p>
        </w:tc>
        <w:tc>
          <w:tcPr>
            <w:tcW w:w="3953" w:type="dxa"/>
          </w:tcPr>
          <w:p w14:paraId="40EDDF77" w14:textId="77777777" w:rsidR="00A65157" w:rsidRDefault="00EF12CE">
            <w:r>
              <w:t>Receive Candidates when they arrive and provide a new employment package for each Intern</w:t>
            </w:r>
          </w:p>
          <w:p w14:paraId="00A2BD3D" w14:textId="77777777" w:rsidR="0096748B" w:rsidRDefault="0096748B" w:rsidP="0096748B">
            <w:r>
              <w:sym w:font="Wingdings" w:char="F0E0"/>
            </w:r>
            <w:r>
              <w:t xml:space="preserve"> New Employee Guidelines and Necessary Employment Documents</w:t>
            </w:r>
          </w:p>
          <w:p w14:paraId="7E427AF0" w14:textId="77777777" w:rsidR="000877ED" w:rsidRDefault="000877ED"/>
        </w:tc>
        <w:tc>
          <w:tcPr>
            <w:tcW w:w="1652" w:type="dxa"/>
          </w:tcPr>
          <w:p w14:paraId="577348B7" w14:textId="77777777" w:rsidR="00A65157" w:rsidRDefault="0096748B">
            <w:r>
              <w:t>HR</w:t>
            </w:r>
          </w:p>
        </w:tc>
        <w:tc>
          <w:tcPr>
            <w:tcW w:w="1363" w:type="dxa"/>
          </w:tcPr>
          <w:p w14:paraId="7CB97FB3" w14:textId="77777777" w:rsidR="00A65157" w:rsidRDefault="00A65157"/>
        </w:tc>
        <w:tc>
          <w:tcPr>
            <w:tcW w:w="1780" w:type="dxa"/>
          </w:tcPr>
          <w:p w14:paraId="7364F374" w14:textId="77777777" w:rsidR="00A65157" w:rsidRDefault="00A65157"/>
        </w:tc>
      </w:tr>
      <w:tr w:rsidR="0096748B" w14:paraId="6E77915D" w14:textId="77777777" w:rsidTr="0096748B">
        <w:tc>
          <w:tcPr>
            <w:tcW w:w="1872" w:type="dxa"/>
          </w:tcPr>
          <w:p w14:paraId="66C0E20F" w14:textId="77777777" w:rsidR="00EF12CE" w:rsidRDefault="00EF12CE" w:rsidP="005D4812">
            <w:pPr>
              <w:numPr>
                <w:ilvl w:val="0"/>
                <w:numId w:val="1"/>
              </w:numPr>
            </w:pPr>
          </w:p>
        </w:tc>
        <w:tc>
          <w:tcPr>
            <w:tcW w:w="3953" w:type="dxa"/>
          </w:tcPr>
          <w:p w14:paraId="10AD3EE8" w14:textId="77777777" w:rsidR="00EF12CE" w:rsidRDefault="00EF12CE">
            <w:r>
              <w:t>Conduct Orientation and Staff Introductions for each intern</w:t>
            </w:r>
          </w:p>
          <w:p w14:paraId="61531283" w14:textId="77777777" w:rsidR="000877ED" w:rsidRDefault="000877ED" w:rsidP="0096748B"/>
        </w:tc>
        <w:tc>
          <w:tcPr>
            <w:tcW w:w="1652" w:type="dxa"/>
          </w:tcPr>
          <w:p w14:paraId="4AFA0953" w14:textId="77777777" w:rsidR="00EF12CE" w:rsidRDefault="0096748B">
            <w:r>
              <w:t xml:space="preserve">Unit Manager </w:t>
            </w:r>
          </w:p>
        </w:tc>
        <w:tc>
          <w:tcPr>
            <w:tcW w:w="1363" w:type="dxa"/>
          </w:tcPr>
          <w:p w14:paraId="754497E8" w14:textId="77777777" w:rsidR="00EF12CE" w:rsidRDefault="00EF12CE"/>
        </w:tc>
        <w:tc>
          <w:tcPr>
            <w:tcW w:w="1780" w:type="dxa"/>
          </w:tcPr>
          <w:p w14:paraId="6384888E" w14:textId="77777777" w:rsidR="00EF12CE" w:rsidRDefault="00EF12CE"/>
        </w:tc>
      </w:tr>
      <w:tr w:rsidR="0096748B" w14:paraId="13C58791" w14:textId="77777777" w:rsidTr="0096748B">
        <w:tc>
          <w:tcPr>
            <w:tcW w:w="1872" w:type="dxa"/>
          </w:tcPr>
          <w:p w14:paraId="7C109E8F" w14:textId="77777777" w:rsidR="00EF12CE" w:rsidRDefault="00EF12CE" w:rsidP="005D4812">
            <w:pPr>
              <w:numPr>
                <w:ilvl w:val="0"/>
                <w:numId w:val="1"/>
              </w:numPr>
            </w:pPr>
          </w:p>
        </w:tc>
        <w:tc>
          <w:tcPr>
            <w:tcW w:w="3953" w:type="dxa"/>
          </w:tcPr>
          <w:p w14:paraId="249FC4DE" w14:textId="77777777" w:rsidR="00EF12CE" w:rsidRDefault="00EF12CE">
            <w:r>
              <w:t>Conduct a review and evaluation of each intern’s performance at the end of the term.</w:t>
            </w:r>
          </w:p>
          <w:p w14:paraId="2050484D" w14:textId="77777777" w:rsidR="000877ED" w:rsidRDefault="000877ED"/>
        </w:tc>
        <w:tc>
          <w:tcPr>
            <w:tcW w:w="1652" w:type="dxa"/>
          </w:tcPr>
          <w:p w14:paraId="42F268AC" w14:textId="77777777" w:rsidR="00EF12CE" w:rsidRDefault="0096748B">
            <w:r>
              <w:t>Unit Manager</w:t>
            </w:r>
          </w:p>
        </w:tc>
        <w:tc>
          <w:tcPr>
            <w:tcW w:w="1363" w:type="dxa"/>
          </w:tcPr>
          <w:p w14:paraId="68A658E3" w14:textId="77777777" w:rsidR="00EF12CE" w:rsidRDefault="00EF12CE"/>
        </w:tc>
        <w:tc>
          <w:tcPr>
            <w:tcW w:w="1780" w:type="dxa"/>
          </w:tcPr>
          <w:p w14:paraId="50ACE477" w14:textId="77777777" w:rsidR="00EF12CE" w:rsidRDefault="00EF12CE"/>
        </w:tc>
      </w:tr>
    </w:tbl>
    <w:p w14:paraId="1BEE9374" w14:textId="77777777" w:rsidR="00A65157" w:rsidRDefault="00A65157"/>
    <w:sectPr w:rsidR="00A6515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7E45" w14:textId="77777777" w:rsidR="00D52D39" w:rsidRDefault="00D52D39">
      <w:r>
        <w:separator/>
      </w:r>
    </w:p>
  </w:endnote>
  <w:endnote w:type="continuationSeparator" w:id="0">
    <w:p w14:paraId="78E13E9C" w14:textId="77777777" w:rsidR="00D52D39" w:rsidRDefault="00D5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DF88" w14:textId="77777777" w:rsidR="00D86C02" w:rsidRDefault="00D86C02" w:rsidP="00D86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B53D3" w14:textId="77777777" w:rsidR="00D86C02" w:rsidRDefault="00D86C02" w:rsidP="00D86C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0FD9" w14:textId="77777777" w:rsidR="00D86C02" w:rsidRDefault="00D86C02" w:rsidP="00D86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F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0DE539" w14:textId="77777777" w:rsidR="00D86C02" w:rsidRPr="00D86C02" w:rsidRDefault="00D86C02" w:rsidP="00D86C02">
    <w:pPr>
      <w:pStyle w:val="Footer"/>
      <w:ind w:right="360"/>
      <w:rPr>
        <w:sz w:val="12"/>
        <w:szCs w:val="12"/>
      </w:rPr>
    </w:pPr>
    <w:r w:rsidRPr="00D86C02">
      <w:rPr>
        <w:sz w:val="12"/>
        <w:szCs w:val="12"/>
      </w:rPr>
      <w:fldChar w:fldCharType="begin"/>
    </w:r>
    <w:r w:rsidRPr="00D86C02">
      <w:rPr>
        <w:sz w:val="12"/>
        <w:szCs w:val="12"/>
      </w:rPr>
      <w:instrText xml:space="preserve"> FILENAME \p </w:instrText>
    </w:r>
    <w:r w:rsidRPr="00D86C02">
      <w:rPr>
        <w:sz w:val="12"/>
        <w:szCs w:val="12"/>
      </w:rPr>
      <w:fldChar w:fldCharType="separate"/>
    </w:r>
    <w:r w:rsidR="00E96868">
      <w:rPr>
        <w:noProof/>
        <w:sz w:val="12"/>
        <w:szCs w:val="12"/>
      </w:rPr>
      <w:t>C:\Documents and Settings\jpeters\Local Settings\Temporary Internet Files\OLK7\Summer Internship Process.doc</w:t>
    </w:r>
    <w:r w:rsidRPr="00D86C02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9173" w14:textId="77777777" w:rsidR="00D52D39" w:rsidRDefault="00D52D39">
      <w:r>
        <w:separator/>
      </w:r>
    </w:p>
  </w:footnote>
  <w:footnote w:type="continuationSeparator" w:id="0">
    <w:p w14:paraId="65430888" w14:textId="77777777" w:rsidR="00D52D39" w:rsidRDefault="00D5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2B79"/>
    <w:multiLevelType w:val="hybridMultilevel"/>
    <w:tmpl w:val="05607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57"/>
    <w:rsid w:val="00021DFB"/>
    <w:rsid w:val="000877ED"/>
    <w:rsid w:val="001373B2"/>
    <w:rsid w:val="002F4546"/>
    <w:rsid w:val="003F1F86"/>
    <w:rsid w:val="00451C77"/>
    <w:rsid w:val="00594F77"/>
    <w:rsid w:val="005D4812"/>
    <w:rsid w:val="0062258B"/>
    <w:rsid w:val="008571C8"/>
    <w:rsid w:val="008B04B2"/>
    <w:rsid w:val="0096748B"/>
    <w:rsid w:val="009A25C5"/>
    <w:rsid w:val="00A65157"/>
    <w:rsid w:val="00C06081"/>
    <w:rsid w:val="00CE180B"/>
    <w:rsid w:val="00D52D39"/>
    <w:rsid w:val="00D86C02"/>
    <w:rsid w:val="00DE2338"/>
    <w:rsid w:val="00E96868"/>
    <w:rsid w:val="00EF12CE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BAAD51"/>
  <w15:chartTrackingRefBased/>
  <w15:docId w15:val="{21E340E2-93F0-4DB5-9D13-3E560BE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E2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2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6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C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Cayman Islands Government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subject/>
  <dc:creator>Cayman Islands Department of Tourism</dc:creator>
  <cp:keywords/>
  <dc:description/>
  <cp:lastModifiedBy>Liddick, Scott</cp:lastModifiedBy>
  <cp:revision>2</cp:revision>
  <cp:lastPrinted>2005-03-01T18:41:00Z</cp:lastPrinted>
  <dcterms:created xsi:type="dcterms:W3CDTF">2018-04-12T15:36:00Z</dcterms:created>
  <dcterms:modified xsi:type="dcterms:W3CDTF">2018-04-12T15:36:00Z</dcterms:modified>
</cp:coreProperties>
</file>